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300"/>
      </w:pPr>
      <w:r>
        <w:rPr>
          <w:rFonts w:ascii="Arial" w:cs="Arial" w:eastAsia="Arial" w:hAnsi="Arial"/>
          <w:b/>
          <w:bCs/>
          <w:color w:val="1A1A2E"/>
          <w:sz w:val="32"/>
          <w:szCs w:val="32"/>
        </w:rPr>
        <w:t xml:space="preserve">Charte d'utilisation de l'intelligence artificielle</w:t>
      </w:r>
    </w:p>
    <w:p>
      <w:pPr>
        <w:spacing w:after="80"/>
      </w:pPr>
      <w:r>
        <w:rPr>
          <w:rFonts w:ascii="Arial" w:cs="Arial" w:eastAsia="Arial" w:hAnsi="Arial"/>
          <w:b w:val="false"/>
          <w:bCs w:val="false"/>
          <w:i/>
          <w:iCs/>
          <w:color w:val="555555"/>
          <w:sz w:val="20"/>
          <w:szCs w:val="20"/>
        </w:rPr>
        <w:t xml:space="preserve">[NOM DE L'ENTREPRISE] — Version 1.0 — [DATE] — Référent IA : [NOM / CONTACT]</w:t>
      </w:r>
    </w:p>
    <w:p>
      <w:pPr>
        <w:pBdr>
          <w:bottom w:val="single" w:color="2C5F8A" w:sz="3" w:space="1"/>
        </w:pBdr>
        <w:spacing w:after="100"/>
      </w:pPr>
    </w:p>
    <w:p>
      <w:pPr>
        <w:pStyle w:val="Heading2"/>
        <w:spacing w:after="120" w:before="200"/>
      </w:pPr>
      <w:r>
        <w:rPr>
          <w:rFonts w:ascii="Arial" w:cs="Arial" w:eastAsia="Arial" w:hAnsi="Arial"/>
          <w:b/>
          <w:bCs/>
          <w:color w:val="2C5F8A"/>
          <w:sz w:val="26"/>
          <w:szCs w:val="26"/>
        </w:rPr>
        <w:t xml:space="preserve">Mémo opérationnel — 5 règles pour utiliser l'IA en sécurité</w:t>
      </w:r>
    </w:p>
    <w:p>
      <w:pPr>
        <w:spacing w:after="80"/>
      </w:pPr>
      <w:r>
        <w:rPr>
          <w:rFonts w:ascii="Arial" w:cs="Arial" w:eastAsia="Arial" w:hAnsi="Arial"/>
          <w:b w:val="false"/>
          <w:bCs w:val="false"/>
          <w:i/>
          <w:iCs/>
          <w:color w:val="555555"/>
          <w:sz w:val="20"/>
          <w:szCs w:val="20"/>
        </w:rPr>
        <w:t xml:space="preserve">Ce mémo résume les 5 engagements de chaque collaborateur. À afficher, à lire en 2 minutes, à signer.</w:t>
      </w:r>
    </w:p>
    <w:p>
      <w:pPr>
        <w:spacing w:after="60" w:before="200"/>
      </w:pPr>
      <w:r>
        <w:rPr>
          <w:rFonts w:ascii="Arial" w:cs="Arial" w:eastAsia="Arial" w:hAnsi="Arial"/>
          <w:b/>
          <w:bCs/>
          <w:color w:val="2C5F8A"/>
          <w:sz w:val="22"/>
          <w:szCs w:val="22"/>
        </w:rPr>
        <w:t xml:space="preserve">Règle 1 — Je n'utilise que les outils validés</w:t>
      </w:r>
    </w:p>
    <w:p>
      <w:pPr>
        <w:spacing w:after="80"/>
      </w:pPr>
      <w:r>
        <w:rPr>
          <w:rFonts w:ascii="Arial" w:cs="Arial" w:eastAsia="Arial" w:hAnsi="Arial"/>
          <w:b w:val="false"/>
          <w:bCs w:val="false"/>
          <w:i w:val="false"/>
          <w:iCs w:val="false"/>
          <w:color w:val="1A1A2E"/>
          <w:sz w:val="20"/>
          <w:szCs w:val="20"/>
        </w:rPr>
        <w:t xml:space="preserve">Liste à jour : [ChatGPT Team / Claude Pro / Copilot 365 — à adapter]. Dans ces outils, mes prompts ne sont pas utilisés pour entraîner l'IA. Je peux y travailler sereinement. En dehors de cette liste, c'est interdit par défaut.</w:t>
      </w:r>
    </w:p>
    <w:p>
      <w:pPr>
        <w:spacing w:after="60" w:before="200"/>
      </w:pPr>
      <w:r>
        <w:rPr>
          <w:rFonts w:ascii="Arial" w:cs="Arial" w:eastAsia="Arial" w:hAnsi="Arial"/>
          <w:b/>
          <w:bCs/>
          <w:color w:val="2C5F8A"/>
          <w:sz w:val="22"/>
          <w:szCs w:val="22"/>
        </w:rPr>
        <w:t xml:space="preserve">Règle 2 — Hors outils validés, je ne colle rien d'identifiant</w:t>
      </w:r>
    </w:p>
    <w:p>
      <w:pPr>
        <w:spacing w:after="80"/>
      </w:pPr>
      <w:r>
        <w:rPr>
          <w:rFonts w:ascii="Arial" w:cs="Arial" w:eastAsia="Arial" w:hAnsi="Arial"/>
          <w:b w:val="false"/>
          <w:bCs w:val="false"/>
          <w:i w:val="false"/>
          <w:iCs w:val="false"/>
          <w:color w:val="1A1A2E"/>
          <w:sz w:val="20"/>
          <w:szCs w:val="20"/>
        </w:rPr>
        <w:t xml:space="preserve">Pas de nom de client, pas de RIB, pas de numéro de sécurité sociale, pas de contrat signé, pas de bilan, pas de mot de passe. Dans le doute, je remplace par "Client A", "Montant X" avant de coller.</w:t>
      </w:r>
    </w:p>
    <w:p>
      <w:pPr>
        <w:spacing w:after="60" w:before="200"/>
      </w:pPr>
      <w:r>
        <w:rPr>
          <w:rFonts w:ascii="Arial" w:cs="Arial" w:eastAsia="Arial" w:hAnsi="Arial"/>
          <w:b/>
          <w:bCs/>
          <w:color w:val="2C5F8A"/>
          <w:sz w:val="22"/>
          <w:szCs w:val="22"/>
        </w:rPr>
        <w:t xml:space="preserve">Règle 3 — Je vérifie avant de transmettre</w:t>
      </w:r>
    </w:p>
    <w:p>
      <w:pPr>
        <w:spacing w:after="80"/>
      </w:pPr>
      <w:r>
        <w:rPr>
          <w:rFonts w:ascii="Arial" w:cs="Arial" w:eastAsia="Arial" w:hAnsi="Arial"/>
          <w:b w:val="false"/>
          <w:bCs w:val="false"/>
          <w:i w:val="false"/>
          <w:iCs w:val="false"/>
          <w:color w:val="1A1A2E"/>
          <w:sz w:val="20"/>
          <w:szCs w:val="20"/>
        </w:rPr>
        <w:t xml:space="preserve">L'IA invente. Avant d'envoyer une réponse à un client, de signer un document ou de publier un contenu, je contrôle les chiffres, les noms propres, les références légales. Si l'IA cite une source, je l'ouvre.</w:t>
      </w:r>
    </w:p>
    <w:p>
      <w:pPr>
        <w:spacing w:after="60" w:before="200"/>
      </w:pPr>
      <w:r>
        <w:rPr>
          <w:rFonts w:ascii="Arial" w:cs="Arial" w:eastAsia="Arial" w:hAnsi="Arial"/>
          <w:b/>
          <w:bCs/>
          <w:color w:val="2C5F8A"/>
          <w:sz w:val="22"/>
          <w:szCs w:val="22"/>
        </w:rPr>
        <w:t xml:space="preserve">Règle 4 — Je décide, l'IA propose</w:t>
      </w:r>
    </w:p>
    <w:p>
      <w:pPr>
        <w:spacing w:after="80"/>
      </w:pPr>
      <w:r>
        <w:rPr>
          <w:rFonts w:ascii="Arial" w:cs="Arial" w:eastAsia="Arial" w:hAnsi="Arial"/>
          <w:b w:val="false"/>
          <w:bCs w:val="false"/>
          <w:i w:val="false"/>
          <w:iCs w:val="false"/>
          <w:color w:val="1A1A2E"/>
          <w:sz w:val="20"/>
          <w:szCs w:val="20"/>
        </w:rPr>
        <w:t xml:space="preserve">Une décision RH, une offre commerciale engageante, un refus, un diagnostic : ça reste un acte humain. L'IA m'aide à préparer, elle ne signe pas à ma place.</w:t>
      </w:r>
    </w:p>
    <w:p>
      <w:pPr>
        <w:spacing w:after="60" w:before="200"/>
      </w:pPr>
      <w:r>
        <w:rPr>
          <w:rFonts w:ascii="Arial" w:cs="Arial" w:eastAsia="Arial" w:hAnsi="Arial"/>
          <w:b/>
          <w:bCs/>
          <w:color w:val="2C5F8A"/>
          <w:sz w:val="22"/>
          <w:szCs w:val="22"/>
        </w:rPr>
        <w:t xml:space="preserve">Règle 5 — En cas de doute ou de bêtise, je préviens</w:t>
      </w:r>
    </w:p>
    <w:p>
      <w:pPr>
        <w:spacing w:after="80"/>
      </w:pPr>
      <w:r>
        <w:rPr>
          <w:rFonts w:ascii="Arial" w:cs="Arial" w:eastAsia="Arial" w:hAnsi="Arial"/>
          <w:b w:val="false"/>
          <w:bCs w:val="false"/>
          <w:i w:val="false"/>
          <w:iCs w:val="false"/>
          <w:color w:val="1A1A2E"/>
          <w:sz w:val="20"/>
          <w:szCs w:val="20"/>
        </w:rPr>
        <w:t xml:space="preserve">Si j'ai un doute sur un usage, si j'ai collé une info sensible par erreur, si je reçois un message suspect (voix, mail, virement) : je contacte [RÉFÉRENT IA]. Pas de sanction si je signale.</w:t>
      </w:r>
    </w:p>
    <w:p>
      <w:pPr>
        <w:pBdr>
          <w:bottom w:val="single" w:color="CCCCCC" w:sz="1" w:space="1"/>
        </w:pBdr>
        <w:spacing w:after="100" w:before="200"/>
      </w:pPr>
    </w:p>
    <w:p>
      <w:pPr>
        <w:pStyle w:val="Heading3"/>
        <w:spacing w:after="120" w:before="200"/>
      </w:pPr>
      <w:r>
        <w:rPr>
          <w:rFonts w:ascii="Arial" w:cs="Arial" w:eastAsia="Arial" w:hAnsi="Arial"/>
          <w:b/>
          <w:bCs/>
          <w:color w:val="1A1A2E"/>
          <w:sz w:val="22"/>
          <w:szCs w:val="22"/>
        </w:rPr>
        <w:t xml:space="preserve">Engagement de bonne foi</w:t>
      </w:r>
    </w:p>
    <w:p>
      <w:pPr>
        <w:spacing w:after="80"/>
      </w:pPr>
      <w:r>
        <w:rPr>
          <w:rFonts w:ascii="Arial" w:cs="Arial" w:eastAsia="Arial" w:hAnsi="Arial"/>
          <w:b w:val="false"/>
          <w:bCs w:val="false"/>
          <w:i w:val="false"/>
          <w:iCs w:val="false"/>
          <w:color w:val="1A1A2E"/>
          <w:sz w:val="20"/>
          <w:szCs w:val="20"/>
        </w:rPr>
        <w:t xml:space="preserve">Je déclare avoir lu ces 5 règles et je m'engage à les appliquer. Ce mémo n'est pas un contrat disciplinaire, c'est un engagement collectif pour protéger l'entreprise et ses clients.</w:t>
      </w:r>
    </w:p>
    <w:p>
      <w:pPr>
        <w:spacing w:before="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600"/>
        <w:gridCol w:w="2400"/>
        <w:gridCol w:w="3026"/>
      </w:tblGrid>
      <w:tr>
        <w:tc>
          <w:tcPr>
            <w:tcW w:type="dxa" w:w="36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Collaborateur</w:t>
            </w:r>
          </w:p>
        </w:tc>
        <w:tc>
          <w:tcPr>
            <w:tcW w:type="dxa" w:w="24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Date</w:t>
            </w:r>
          </w:p>
        </w:tc>
        <w:tc>
          <w:tcPr>
            <w:tcW w:type="dxa" w:w="30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20"/>
                <w:szCs w:val="20"/>
              </w:rPr>
              <w:t xml:space="preserve">Signature</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3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3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3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3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r>
      <w:tr>
        <w:tc>
          <w:tcPr>
            <w:tcW w:type="dxa" w:w="36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24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c>
          <w:tcPr>
            <w:tcW w:type="dxa" w:w="30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20"/>
                <w:szCs w:val="20"/>
              </w:rPr>
              <w:t xml:space="preserve"> </w:t>
            </w:r>
          </w:p>
        </w:tc>
      </w:tr>
    </w:tbl>
    <w:p>
      <w:pPr>
        <w:sectPr>
          <w:headerReference w:type="default" r:id="rId7"/>
          <w:footerReference w:type="default" r:id="rId8"/>
          <w:pgSz w:w="11906" w:h="16838" w:orient="portrait"/>
          <w:pgMar w:top="1440" w:right="1440" w:bottom="1440" w:left="1440" w:header="708" w:footer="708" w:gutter="0"/>
          <w:pgNumType/>
          <w:docGrid w:linePitch="360"/>
        </w:sectPr>
      </w:pPr>
    </w:p>
    <w:p>
      <w:pPr>
        <w:pStyle w:val="Heading2"/>
        <w:spacing w:after="120" w:before="200"/>
      </w:pPr>
      <w:r>
        <w:rPr>
          <w:rFonts w:ascii="Arial" w:cs="Arial" w:eastAsia="Arial" w:hAnsi="Arial"/>
          <w:b/>
          <w:bCs/>
          <w:color w:val="2C5F8A"/>
          <w:sz w:val="26"/>
          <w:szCs w:val="26"/>
        </w:rPr>
        <w:t xml:space="preserve">Politique détaillée — Pour le dirigeant et le référent IA</w:t>
      </w:r>
    </w:p>
    <w:p>
      <w:pPr>
        <w:pStyle w:val="Heading3"/>
        <w:spacing w:after="120" w:before="200"/>
      </w:pPr>
      <w:r>
        <w:rPr>
          <w:rFonts w:ascii="Arial" w:cs="Arial" w:eastAsia="Arial" w:hAnsi="Arial"/>
          <w:b/>
          <w:bCs/>
          <w:color w:val="1A1A2E"/>
          <w:sz w:val="22"/>
          <w:szCs w:val="22"/>
        </w:rPr>
        <w:t xml:space="preserve">A. Périmètre et objectifs</w:t>
      </w:r>
    </w:p>
    <w:p>
      <w:pPr>
        <w:spacing w:after="80"/>
      </w:pPr>
      <w:r>
        <w:rPr>
          <w:rFonts w:ascii="Arial" w:cs="Arial" w:eastAsia="Arial" w:hAnsi="Arial"/>
          <w:b w:val="false"/>
          <w:bCs w:val="false"/>
          <w:i w:val="false"/>
          <w:iCs w:val="false"/>
          <w:color w:val="1A1A2E"/>
          <w:sz w:val="20"/>
          <w:szCs w:val="20"/>
        </w:rPr>
        <w:t xml:space="preserve">Cette politique s'applique à tous les collaborateurs de [NOM DE L'ENTREPRISE] (salariés, stagiaires, intérimaires, prestataires) qui utilisent des systèmes d'IA générative dans le cadre de leur mission. Elle vise trois objectifs : sécuriser les données, garantir la conformité réglementaire, responsabiliser les utilisateurs sans freiner l'usage.</w:t>
      </w:r>
    </w:p>
    <w:p>
      <w:pPr>
        <w:pStyle w:val="Heading3"/>
        <w:spacing w:after="120" w:before="200"/>
      </w:pPr>
      <w:r>
        <w:rPr>
          <w:rFonts w:ascii="Arial" w:cs="Arial" w:eastAsia="Arial" w:hAnsi="Arial"/>
          <w:b/>
          <w:bCs/>
          <w:color w:val="1A1A2E"/>
          <w:sz w:val="22"/>
          <w:szCs w:val="22"/>
        </w:rPr>
        <w:t xml:space="preserve">B. Cadre réglementaire applicable</w:t>
      </w:r>
    </w:p>
    <w:p>
      <w:pPr>
        <w:spacing w:after="80"/>
      </w:pPr>
      <w:r>
        <w:rPr>
          <w:rFonts w:ascii="Arial" w:cs="Arial" w:eastAsia="Arial" w:hAnsi="Arial"/>
          <w:b/>
          <w:bCs/>
          <w:i w:val="false"/>
          <w:iCs w:val="false"/>
          <w:color w:val="1A1A2E"/>
          <w:sz w:val="20"/>
          <w:szCs w:val="20"/>
        </w:rPr>
        <w:t xml:space="preserve">RGPD (Règlement UE 2016/679). </w:t>
      </w:r>
      <w:r>
        <w:rPr>
          <w:rFonts w:ascii="Arial" w:cs="Arial" w:eastAsia="Arial" w:hAnsi="Arial"/>
          <w:b w:val="false"/>
          <w:bCs w:val="false"/>
          <w:i w:val="false"/>
          <w:iCs w:val="false"/>
          <w:color w:val="1A1A2E"/>
          <w:sz w:val="20"/>
          <w:szCs w:val="20"/>
        </w:rPr>
        <w:t xml:space="preserve">Saisir des données personnelles dans une IA dont les serveurs sont hors UE peut constituer un transfert international de données. Les comptes Enterprise/Team des principaux fournisseurs (OpenAI, Anthropic, Microsoft) proposent des engagements contractuels compatibles RGPD : privilégier ces offres.</w:t>
      </w:r>
    </w:p>
    <w:p>
      <w:pPr>
        <w:spacing w:after="80"/>
      </w:pPr>
      <w:r>
        <w:rPr>
          <w:rFonts w:ascii="Arial" w:cs="Arial" w:eastAsia="Arial" w:hAnsi="Arial"/>
          <w:b/>
          <w:bCs/>
          <w:i w:val="false"/>
          <w:iCs w:val="false"/>
          <w:color w:val="1A1A2E"/>
          <w:sz w:val="20"/>
          <w:szCs w:val="20"/>
        </w:rPr>
        <w:t xml:space="preserve">AI Act (Règlement UE 2024/1689). </w:t>
      </w:r>
      <w:r>
        <w:rPr>
          <w:rFonts w:ascii="Arial" w:cs="Arial" w:eastAsia="Arial" w:hAnsi="Arial"/>
          <w:b w:val="false"/>
          <w:bCs w:val="false"/>
          <w:i w:val="false"/>
          <w:iCs w:val="false"/>
          <w:color w:val="1A1A2E"/>
          <w:sz w:val="20"/>
          <w:szCs w:val="20"/>
        </w:rPr>
        <w:t xml:space="preserve">Entré en application progressive depuis février 2025. Les interdictions (notation sociale, manipulation comportementale, reconnaissance émotionnelle au travail) sont en vigueur. Les systèmes à haut risque (recrutement, évaluation de crédit) imposent des obligations de transparence, documentation et supervision humaine.</w:t>
      </w:r>
    </w:p>
    <w:p>
      <w:pPr>
        <w:spacing w:after="80"/>
      </w:pPr>
      <w:r>
        <w:rPr>
          <w:rFonts w:ascii="Arial" w:cs="Arial" w:eastAsia="Arial" w:hAnsi="Arial"/>
          <w:b/>
          <w:bCs/>
          <w:i w:val="false"/>
          <w:iCs w:val="false"/>
          <w:color w:val="1A1A2E"/>
          <w:sz w:val="20"/>
          <w:szCs w:val="20"/>
        </w:rPr>
        <w:t xml:space="preserve">Propriété intellectuelle. </w:t>
      </w:r>
      <w:r>
        <w:rPr>
          <w:rFonts w:ascii="Arial" w:cs="Arial" w:eastAsia="Arial" w:hAnsi="Arial"/>
          <w:b w:val="false"/>
          <w:bCs w:val="false"/>
          <w:i w:val="false"/>
          <w:iCs w:val="false"/>
          <w:color w:val="1A1A2E"/>
          <w:sz w:val="20"/>
          <w:szCs w:val="20"/>
        </w:rPr>
        <w:t xml:space="preserve">En droit français, une production 100% générée par IA n'est pas protégeable par le droit d'auteur. Pour tout contenu destiné à une exploitation commerciale, conserver une trace de l'intervention humaine.</w:t>
      </w:r>
    </w:p>
    <w:p>
      <w:pPr>
        <w:spacing w:after="80"/>
      </w:pPr>
      <w:r>
        <w:rPr>
          <w:rFonts w:ascii="Arial" w:cs="Arial" w:eastAsia="Arial" w:hAnsi="Arial"/>
          <w:b/>
          <w:bCs/>
          <w:i w:val="false"/>
          <w:iCs w:val="false"/>
          <w:color w:val="1A1A2E"/>
          <w:sz w:val="20"/>
          <w:szCs w:val="20"/>
        </w:rPr>
        <w:t xml:space="preserve">Notification CNIL. </w:t>
      </w:r>
      <w:r>
        <w:rPr>
          <w:rFonts w:ascii="Arial" w:cs="Arial" w:eastAsia="Arial" w:hAnsi="Arial"/>
          <w:b w:val="false"/>
          <w:bCs w:val="false"/>
          <w:i w:val="false"/>
          <w:iCs w:val="false"/>
          <w:color w:val="1A1A2E"/>
          <w:sz w:val="20"/>
          <w:szCs w:val="20"/>
        </w:rPr>
        <w:t xml:space="preserve">Si des données personnelles sont exposées par un usage IA non maîtrisé, l'entreprise est tenue de notifier la CNIL sous 72 heures et potentiellement d'informer les personnes concernées.</w:t>
      </w:r>
    </w:p>
    <w:p>
      <w:pPr>
        <w:pStyle w:val="Heading3"/>
        <w:spacing w:after="120" w:before="200"/>
      </w:pPr>
      <w:r>
        <w:rPr>
          <w:rFonts w:ascii="Arial" w:cs="Arial" w:eastAsia="Arial" w:hAnsi="Arial"/>
          <w:b/>
          <w:bCs/>
          <w:color w:val="1A1A2E"/>
          <w:sz w:val="22"/>
          <w:szCs w:val="22"/>
        </w:rPr>
        <w:t xml:space="preserve">C. Outils et usages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500"/>
        <w:gridCol w:w="2200"/>
        <w:gridCol w:w="2126"/>
      </w:tblGrid>
      <w:tr>
        <w:tc>
          <w:tcPr>
            <w:tcW w:type="dxa" w:w="22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18"/>
                <w:szCs w:val="18"/>
              </w:rPr>
              <w:t xml:space="preserve">Outil</w:t>
            </w:r>
          </w:p>
        </w:tc>
        <w:tc>
          <w:tcPr>
            <w:tcW w:type="dxa" w:w="25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18"/>
                <w:szCs w:val="18"/>
              </w:rPr>
              <w:t xml:space="preserve">Usage autorisé</w:t>
            </w:r>
          </w:p>
        </w:tc>
        <w:tc>
          <w:tcPr>
            <w:tcW w:type="dxa" w:w="2200"/>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18"/>
                <w:szCs w:val="18"/>
              </w:rPr>
              <w:t xml:space="preserve">Type de compte</w:t>
            </w:r>
          </w:p>
        </w:tc>
        <w:tc>
          <w:tcPr>
            <w:tcW w:type="dxa" w:w="2126"/>
            <w:tcBorders>
              <w:top w:val="single" w:color="CCCCCC" w:sz="1"/>
              <w:left w:val="single" w:color="CCCCCC" w:sz="1"/>
              <w:bottom w:val="single" w:color="CCCCCC" w:sz="1"/>
              <w:right w:val="single" w:color="CCCCCC" w:sz="1"/>
            </w:tcBorders>
            <w:shd w:fill="D5E8F0" w:val="clear"/>
            <w:tcMar>
              <w:top w:type="dxa" w:w="60"/>
              <w:left w:type="dxa" w:w="100"/>
              <w:bottom w:type="dxa" w:w="60"/>
              <w:right w:type="dxa" w:w="100"/>
            </w:tcMar>
          </w:tcPr>
          <w:p>
            <w:r>
              <w:rPr>
                <w:rFonts w:ascii="Arial" w:cs="Arial" w:eastAsia="Arial" w:hAnsi="Arial"/>
                <w:b/>
                <w:bCs/>
                <w:sz w:val="18"/>
                <w:szCs w:val="18"/>
              </w:rPr>
              <w:t xml:space="preserve">Données autorisées</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[ChatGPT Team]</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Rédaction, analyse, code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Compte entreprise</w:t>
            </w:r>
          </w:p>
        </w:tc>
        <w:tc>
          <w:tcPr>
            <w:tcW w:type="dxa" w:w="2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Toutes sauf secret absolu</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[Claude Pro/Team]</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Rédaction longue, analyse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Compte entreprise</w:t>
            </w:r>
          </w:p>
        </w:tc>
        <w:tc>
          <w:tcPr>
            <w:tcW w:type="dxa" w:w="2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Toutes sauf secret absolu</w:t>
            </w:r>
          </w:p>
        </w:tc>
      </w:tr>
      <w:tr>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[Copilot 365]</w:t>
            </w:r>
          </w:p>
        </w:tc>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Intégré bureautique</w:t>
            </w:r>
          </w:p>
        </w:tc>
        <w:tc>
          <w:tcPr>
            <w:tcW w:type="dxa" w:w="2200"/>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Licence M365</w:t>
            </w:r>
          </w:p>
        </w:tc>
        <w:tc>
          <w:tcPr>
            <w:tcW w:type="dxa" w:w="2126"/>
            <w:tcBorders>
              <w:top w:val="single" w:color="CCCCCC" w:sz="1"/>
              <w:left w:val="single" w:color="CCCCCC" w:sz="1"/>
              <w:bottom w:val="single" w:color="CCCCCC" w:sz="1"/>
              <w:right w:val="single" w:color="CCCCCC" w:sz="1"/>
            </w:tcBorders>
            <w:tcMar>
              <w:top w:type="dxa" w:w="60"/>
              <w:left w:type="dxa" w:w="100"/>
              <w:bottom w:type="dxa" w:w="60"/>
              <w:right w:type="dxa" w:w="100"/>
            </w:tcMar>
          </w:tcPr>
          <w:p>
            <w:r>
              <w:rPr>
                <w:rFonts w:ascii="Arial" w:cs="Arial" w:eastAsia="Arial" w:hAnsi="Arial"/>
                <w:sz w:val="18"/>
                <w:szCs w:val="18"/>
              </w:rPr>
              <w:t xml:space="preserve">Données déjà dans M365</w:t>
            </w:r>
          </w:p>
        </w:tc>
      </w:tr>
    </w:tbl>
    <w:p>
      <w:pPr>
        <w:spacing w:after="80"/>
      </w:pPr>
      <w:r>
        <w:rPr>
          <w:rFonts w:ascii="Arial" w:cs="Arial" w:eastAsia="Arial" w:hAnsi="Arial"/>
          <w:b/>
          <w:bCs/>
          <w:i w:val="false"/>
          <w:iCs w:val="false"/>
          <w:color w:val="1A1A2E"/>
          <w:sz w:val="20"/>
          <w:szCs w:val="20"/>
        </w:rPr>
        <w:t xml:space="preserve">Outils interdits par défaut : </w:t>
      </w:r>
      <w:r>
        <w:rPr>
          <w:rFonts w:ascii="Arial" w:cs="Arial" w:eastAsia="Arial" w:hAnsi="Arial"/>
          <w:b w:val="false"/>
          <w:bCs w:val="false"/>
          <w:i w:val="false"/>
          <w:iCs w:val="false"/>
          <w:color w:val="1A1A2E"/>
          <w:sz w:val="20"/>
          <w:szCs w:val="20"/>
        </w:rPr>
        <w:t xml:space="preserve">versions gratuites avec compte personnel, extensions navigateur non auditées, IA locales non validées, outils hors UE sans compte entreprise.</w:t>
      </w:r>
    </w:p>
    <w:p>
      <w:pPr>
        <w:pStyle w:val="Heading3"/>
        <w:spacing w:after="120" w:before="200"/>
      </w:pPr>
      <w:r>
        <w:rPr>
          <w:rFonts w:ascii="Arial" w:cs="Arial" w:eastAsia="Arial" w:hAnsi="Arial"/>
          <w:b/>
          <w:bCs/>
          <w:color w:val="1A1A2E"/>
          <w:sz w:val="22"/>
          <w:szCs w:val="22"/>
        </w:rPr>
        <w:t xml:space="preserve">D. Gestion des biais</w:t>
      </w:r>
    </w:p>
    <w:p>
      <w:pPr>
        <w:spacing w:after="80"/>
      </w:pPr>
      <w:r>
        <w:rPr>
          <w:rFonts w:ascii="Arial" w:cs="Arial" w:eastAsia="Arial" w:hAnsi="Arial"/>
          <w:b w:val="false"/>
          <w:bCs w:val="false"/>
          <w:i w:val="false"/>
          <w:iCs w:val="false"/>
          <w:color w:val="1A1A2E"/>
          <w:sz w:val="20"/>
          <w:szCs w:val="20"/>
        </w:rPr>
        <w:t xml:space="preserve">Les modèles d'IA reproduisent les biais de leurs données d'entraînement. Tout usage de l'IA dans un processus RH ou client impliquant une décision individualisée doit faire l'objet d'une revue humaine explicite et tracée.</w:t>
      </w:r>
    </w:p>
    <w:p>
      <w:pPr>
        <w:pStyle w:val="Heading3"/>
        <w:spacing w:after="120" w:before="200"/>
      </w:pPr>
      <w:r>
        <w:rPr>
          <w:rFonts w:ascii="Arial" w:cs="Arial" w:eastAsia="Arial" w:hAnsi="Arial"/>
          <w:b/>
          <w:bCs/>
          <w:color w:val="1A1A2E"/>
          <w:sz w:val="22"/>
          <w:szCs w:val="22"/>
        </w:rPr>
        <w:t xml:space="preserve">E. Procédure d'incident</w:t>
      </w:r>
    </w:p>
    <w:p>
      <w:pPr>
        <w:spacing w:after="80"/>
      </w:pPr>
      <w:r>
        <w:rPr>
          <w:rFonts w:ascii="Arial" w:cs="Arial" w:eastAsia="Arial" w:hAnsi="Arial"/>
          <w:b/>
          <w:bCs/>
          <w:i w:val="false"/>
          <w:iCs w:val="false"/>
          <w:color w:val="1A1A2E"/>
          <w:sz w:val="20"/>
          <w:szCs w:val="20"/>
        </w:rPr>
        <w:t xml:space="preserve">Donnée sensible saisie par erreur : </w:t>
      </w:r>
      <w:r>
        <w:rPr>
          <w:rFonts w:ascii="Arial" w:cs="Arial" w:eastAsia="Arial" w:hAnsi="Arial"/>
          <w:b w:val="false"/>
          <w:bCs w:val="false"/>
          <w:i w:val="false"/>
          <w:iCs w:val="false"/>
          <w:color w:val="1A1A2E"/>
          <w:sz w:val="20"/>
          <w:szCs w:val="20"/>
        </w:rPr>
        <w:t xml:space="preserve">(1) Signaler au référent IA (pas de sanction). (2) Identifier les données concernées. (3) Évaluer si violation RGPD. (4) Si oui : notifier la CNIL dans les 72h. (5) Retour d'expérience collectif.</w:t>
      </w:r>
    </w:p>
    <w:p>
      <w:pPr>
        <w:spacing w:after="80"/>
      </w:pPr>
      <w:r>
        <w:rPr>
          <w:rFonts w:ascii="Arial" w:cs="Arial" w:eastAsia="Arial" w:hAnsi="Arial"/>
          <w:b/>
          <w:bCs/>
          <w:i w:val="false"/>
          <w:iCs w:val="false"/>
          <w:color w:val="1A1A2E"/>
          <w:sz w:val="20"/>
          <w:szCs w:val="20"/>
        </w:rPr>
        <w:t xml:space="preserve">Phishing, deepfake ou message suspect : </w:t>
      </w:r>
      <w:r>
        <w:rPr>
          <w:rFonts w:ascii="Arial" w:cs="Arial" w:eastAsia="Arial" w:hAnsi="Arial"/>
          <w:b w:val="false"/>
          <w:bCs w:val="false"/>
          <w:i w:val="false"/>
          <w:iCs w:val="false"/>
          <w:color w:val="1A1A2E"/>
          <w:sz w:val="20"/>
          <w:szCs w:val="20"/>
        </w:rPr>
        <w:t xml:space="preserve">(1) Ne pas répondre, ne pas cliquer. (2) Capturer une preuve. (3) Alerter le référent IA et le dirigeant. (4) Si virement en jeu : alerter immédiatement la banque et déposer plainte.</w:t>
      </w:r>
    </w:p>
    <w:p>
      <w:pPr>
        <w:pStyle w:val="Heading3"/>
        <w:spacing w:after="120" w:before="200"/>
      </w:pPr>
      <w:r>
        <w:rPr>
          <w:rFonts w:ascii="Arial" w:cs="Arial" w:eastAsia="Arial" w:hAnsi="Arial"/>
          <w:b/>
          <w:bCs/>
          <w:color w:val="1A1A2E"/>
          <w:sz w:val="22"/>
          <w:szCs w:val="22"/>
        </w:rPr>
        <w:t xml:space="preserve">F. Vérification des sorties IA</w:t>
      </w:r>
    </w:p>
    <w:p>
      <w:pPr>
        <w:spacing w:after="80"/>
      </w:pPr>
      <w:r>
        <w:rPr>
          <w:rFonts w:ascii="Arial" w:cs="Arial" w:eastAsia="Arial" w:hAnsi="Arial"/>
          <w:b/>
          <w:bCs/>
          <w:i w:val="false"/>
          <w:iCs w:val="false"/>
          <w:color w:val="1A1A2E"/>
          <w:sz w:val="20"/>
          <w:szCs w:val="20"/>
        </w:rPr>
        <w:t xml:space="preserve">Chiffres : </w:t>
      </w:r>
      <w:r>
        <w:rPr>
          <w:rFonts w:ascii="Arial" w:cs="Arial" w:eastAsia="Arial" w:hAnsi="Arial"/>
          <w:b w:val="false"/>
          <w:bCs w:val="false"/>
          <w:i w:val="false"/>
          <w:iCs w:val="false"/>
          <w:color w:val="1A1A2E"/>
          <w:sz w:val="20"/>
          <w:szCs w:val="20"/>
        </w:rPr>
        <w:t xml:space="preserve">exiger la source, vérifier sur le site officiel. </w:t>
      </w:r>
      <w:r>
        <w:rPr>
          <w:rFonts w:ascii="Arial" w:cs="Arial" w:eastAsia="Arial" w:hAnsi="Arial"/>
          <w:b/>
          <w:bCs/>
          <w:i w:val="false"/>
          <w:iCs w:val="false"/>
          <w:color w:val="1A1A2E"/>
          <w:sz w:val="20"/>
          <w:szCs w:val="20"/>
        </w:rPr>
        <w:t xml:space="preserve">Références légales : </w:t>
      </w:r>
      <w:r>
        <w:rPr>
          <w:rFonts w:ascii="Arial" w:cs="Arial" w:eastAsia="Arial" w:hAnsi="Arial"/>
          <w:b w:val="false"/>
          <w:bCs w:val="false"/>
          <w:i w:val="false"/>
          <w:iCs w:val="false"/>
          <w:color w:val="1A1A2E"/>
          <w:sz w:val="20"/>
          <w:szCs w:val="20"/>
        </w:rPr>
        <w:t xml:space="preserve">vérifier sur Legifrance. </w:t>
      </w:r>
      <w:r>
        <w:rPr>
          <w:rFonts w:ascii="Arial" w:cs="Arial" w:eastAsia="Arial" w:hAnsi="Arial"/>
          <w:b/>
          <w:bCs/>
          <w:i w:val="false"/>
          <w:iCs w:val="false"/>
          <w:color w:val="1A1A2E"/>
          <w:sz w:val="20"/>
          <w:szCs w:val="20"/>
        </w:rPr>
        <w:t xml:space="preserve">Études : </w:t>
      </w:r>
      <w:r>
        <w:rPr>
          <w:rFonts w:ascii="Arial" w:cs="Arial" w:eastAsia="Arial" w:hAnsi="Arial"/>
          <w:b w:val="false"/>
          <w:bCs w:val="false"/>
          <w:i w:val="false"/>
          <w:iCs w:val="false"/>
          <w:color w:val="1A1A2E"/>
          <w:sz w:val="20"/>
          <w:szCs w:val="20"/>
        </w:rPr>
        <w:t xml:space="preserve">rechercher le titre exact sur Google Scholar. </w:t>
      </w:r>
      <w:r>
        <w:rPr>
          <w:rFonts w:ascii="Arial" w:cs="Arial" w:eastAsia="Arial" w:hAnsi="Arial"/>
          <w:b/>
          <w:bCs/>
          <w:i w:val="false"/>
          <w:iCs w:val="false"/>
          <w:color w:val="1A1A2E"/>
          <w:sz w:val="20"/>
          <w:szCs w:val="20"/>
        </w:rPr>
        <w:t xml:space="preserve">Code : </w:t>
      </w:r>
      <w:r>
        <w:rPr>
          <w:rFonts w:ascii="Arial" w:cs="Arial" w:eastAsia="Arial" w:hAnsi="Arial"/>
          <w:b w:val="false"/>
          <w:bCs w:val="false"/>
          <w:i w:val="false"/>
          <w:iCs w:val="false"/>
          <w:color w:val="1A1A2E"/>
          <w:sz w:val="20"/>
          <w:szCs w:val="20"/>
        </w:rPr>
        <w:t xml:space="preserve">exécuter dans un environnement isolé, tester les cas limites.</w:t>
      </w:r>
    </w:p>
    <w:p>
      <w:pPr>
        <w:pStyle w:val="Heading3"/>
        <w:spacing w:after="120" w:before="200"/>
      </w:pPr>
      <w:r>
        <w:rPr>
          <w:rFonts w:ascii="Arial" w:cs="Arial" w:eastAsia="Arial" w:hAnsi="Arial"/>
          <w:b/>
          <w:bCs/>
          <w:color w:val="1A1A2E"/>
          <w:sz w:val="22"/>
          <w:szCs w:val="22"/>
        </w:rPr>
        <w:t xml:space="preserve">G. Révision et gouvernance</w:t>
      </w:r>
    </w:p>
    <w:p>
      <w:pPr>
        <w:spacing w:after="80"/>
      </w:pPr>
      <w:r>
        <w:rPr>
          <w:rFonts w:ascii="Arial" w:cs="Arial" w:eastAsia="Arial" w:hAnsi="Arial"/>
          <w:b/>
          <w:bCs/>
          <w:i w:val="false"/>
          <w:iCs w:val="false"/>
          <w:color w:val="1A1A2E"/>
          <w:sz w:val="20"/>
          <w:szCs w:val="20"/>
        </w:rPr>
        <w:t xml:space="preserve">Référent IA : </w:t>
      </w:r>
      <w:r>
        <w:rPr>
          <w:rFonts w:ascii="Arial" w:cs="Arial" w:eastAsia="Arial" w:hAnsi="Arial"/>
          <w:b w:val="false"/>
          <w:bCs w:val="false"/>
          <w:i w:val="false"/>
          <w:iCs w:val="false"/>
          <w:color w:val="1A1A2E"/>
          <w:sz w:val="20"/>
          <w:szCs w:val="20"/>
        </w:rPr>
        <w:t xml:space="preserve">[NOM / FONCTION]. Dans une TPE, ce rôle peut être tenu par le dirigeant ou confié à un prestataire (demi-journée par trimestre).</w:t>
      </w:r>
    </w:p>
    <w:p>
      <w:pPr>
        <w:spacing w:after="80"/>
      </w:pPr>
      <w:r>
        <w:rPr>
          <w:rFonts w:ascii="Arial" w:cs="Arial" w:eastAsia="Arial" w:hAnsi="Arial"/>
          <w:b/>
          <w:bCs/>
          <w:i w:val="false"/>
          <w:iCs w:val="false"/>
          <w:color w:val="1A1A2E"/>
          <w:sz w:val="20"/>
          <w:szCs w:val="20"/>
        </w:rPr>
        <w:t xml:space="preserve">Déclencheurs de révision : </w:t>
      </w:r>
      <w:r>
        <w:rPr>
          <w:rFonts w:ascii="Arial" w:cs="Arial" w:eastAsia="Arial" w:hAnsi="Arial"/>
          <w:b w:val="false"/>
          <w:bCs w:val="false"/>
          <w:i w:val="false"/>
          <w:iCs w:val="false"/>
          <w:color w:val="1A1A2E"/>
          <w:sz w:val="20"/>
          <w:szCs w:val="20"/>
        </w:rPr>
        <w:t xml:space="preserve">sortie d'un modèle majeur, incident significatif, évolution réglementaire. À défaut, révision annuelle systématique.</w:t>
      </w:r>
    </w:p>
    <w:p>
      <w:pPr>
        <w:pBdr>
          <w:bottom w:val="single" w:color="CCCCCC" w:sz="1" w:space="1"/>
        </w:pBdr>
        <w:spacing w:before="200"/>
      </w:pPr>
    </w:p>
    <w:p>
      <w:pPr>
        <w:spacing w:after="80"/>
      </w:pPr>
      <w:r>
        <w:rPr>
          <w:rFonts w:ascii="Arial" w:cs="Arial" w:eastAsia="Arial" w:hAnsi="Arial"/>
          <w:b w:val="false"/>
          <w:bCs w:val="false"/>
          <w:i/>
          <w:iCs/>
          <w:color w:val="555555"/>
          <w:sz w:val="20"/>
          <w:szCs w:val="20"/>
        </w:rPr>
        <w:t xml:space="preserve">Document interne [NOM DE L'ENTREPRISE]. Dernière mise à jour : [DATE]. Contact : [RÉFÉRENT IA].</w:t>
      </w:r>
    </w:p>
    <w:p>
      <w:pPr>
        <w:spacing w:after="80"/>
      </w:pPr>
      <w:r>
        <w:rPr>
          <w:rFonts w:ascii="Arial" w:cs="Arial" w:eastAsia="Arial" w:hAnsi="Arial"/>
          <w:b w:val="false"/>
          <w:bCs w:val="false"/>
          <w:i/>
          <w:iCs/>
          <w:color w:val="555555"/>
          <w:sz w:val="20"/>
          <w:szCs w:val="20"/>
        </w:rPr>
        <w:t xml:space="preserve">Template proposé par EvidencAI — evidencai.com — À adapter à votre entreprise.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55555"/>
        <w:sz w:val="16"/>
        <w:szCs w:val="16"/>
      </w:rPr>
      <w:t xml:space="preserve">Template EvidencAI — evidencai.com — Page </w:t>
    </w:r>
    <w:r>
      <w:rPr>
        <w:rFonts w:ascii="Arial" w:cs="Arial" w:eastAsia="Arial" w:hAnsi="Arial"/>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Arial" w:cs="Arial" w:eastAsia="Arial" w:hAnsi="Arial"/>
        <w:i/>
        <w:iCs/>
        <w:color w:val="555555"/>
        <w:sz w:val="16"/>
        <w:szCs w:val="16"/>
      </w:rPr>
      <w:t xml:space="preserve">CHARTE IA — [NOM DE L'ENTREPRISE]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Arial" w:cs="Arial" w:eastAsia="Arial" w:hAnsi="Arial"/>
      <w:b/>
      <w:bCs/>
      <w:color w:val="1A1A2E"/>
      <w:sz w:val="32"/>
      <w:szCs w:val="32"/>
    </w:rPr>
  </w:style>
  <w:style w:type="paragraph" w:styleId="Heading2">
    <w:name w:val="Heading 2"/>
    <w:basedOn w:val="Normal"/>
    <w:next w:val="Normal"/>
    <w:qFormat/>
    <w:pPr>
      <w:spacing w:after="120" w:before="200"/>
      <w:outlineLvl w:val="1"/>
    </w:pPr>
    <w:rPr>
      <w:rFonts w:ascii="Arial" w:cs="Arial" w:eastAsia="Arial" w:hAnsi="Arial"/>
      <w:b/>
      <w:bCs/>
      <w:color w:val="2C5F8A"/>
      <w:sz w:val="26"/>
      <w:szCs w:val="26"/>
    </w:rPr>
  </w:style>
  <w:style w:type="paragraph" w:styleId="Heading3">
    <w:name w:val="Heading 3"/>
    <w:basedOn w:val="Normal"/>
    <w:next w:val="Normal"/>
    <w:qFormat/>
    <w:pPr>
      <w:spacing w:after="100" w:before="160"/>
      <w:outlineLvl w:val="2"/>
    </w:pPr>
    <w:rPr>
      <w:rFonts w:ascii="Arial" w:cs="Arial" w:eastAsia="Arial" w:hAnsi="Arial"/>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2026-04-06T07:59:49.533Z</dcterms:created>
  <dcterms:modified xsi:type="dcterms:W3CDTF">2026-04-06T07:59:49.534Z</dcterms:modified>
</cp:coreProperties>
</file>

<file path=docProps/custom.xml><?xml version="1.0" encoding="utf-8"?>
<Properties xmlns="http://schemas.openxmlformats.org/officeDocument/2006/custom-properties" xmlns:vt="http://schemas.openxmlformats.org/officeDocument/2006/docPropsVTypes"/>
</file>